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2E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B38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3B2E" w:rsidRPr="008D6984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6984">
        <w:rPr>
          <w:rFonts w:ascii="Times New Roman" w:hAnsi="Times New Roman" w:cs="Times New Roman"/>
          <w:b/>
          <w:sz w:val="28"/>
          <w:szCs w:val="28"/>
        </w:rPr>
        <w:t>Накануне последних звонков и выпускных вечеров прокуратура напоминает, что законодательством Российской Федерации установлен запрет к потреблению алкогольной продукции несовершеннолетними (п. 3 ст.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продукции»), а Кодексом Российской Федерации об административных правонарушениях (далее КоАП РФ) предусмотрена ответственность за</w:t>
      </w:r>
      <w:proofErr w:type="gramEnd"/>
      <w:r w:rsidRPr="008D6984">
        <w:rPr>
          <w:rFonts w:ascii="Times New Roman" w:hAnsi="Times New Roman" w:cs="Times New Roman"/>
          <w:b/>
          <w:sz w:val="28"/>
          <w:szCs w:val="28"/>
        </w:rPr>
        <w:t xml:space="preserve"> нарушение данного запрета.</w:t>
      </w:r>
    </w:p>
    <w:p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hAnsi="Times New Roman" w:cs="Times New Roman"/>
          <w:sz w:val="28"/>
          <w:szCs w:val="28"/>
        </w:rPr>
        <w:t xml:space="preserve">Как правило, к моменту окончания школы </w:t>
      </w:r>
      <w:proofErr w:type="gramStart"/>
      <w:r w:rsidRPr="000B380D">
        <w:rPr>
          <w:rFonts w:ascii="Times New Roman" w:hAnsi="Times New Roman" w:cs="Times New Roman"/>
          <w:sz w:val="28"/>
          <w:szCs w:val="28"/>
        </w:rPr>
        <w:t>большинство выпускников ещё не достигает возраста</w:t>
      </w:r>
      <w:proofErr w:type="gramEnd"/>
      <w:r w:rsidRPr="000B380D">
        <w:rPr>
          <w:rFonts w:ascii="Times New Roman" w:hAnsi="Times New Roman" w:cs="Times New Roman"/>
          <w:sz w:val="28"/>
          <w:szCs w:val="28"/>
        </w:rPr>
        <w:t xml:space="preserve"> 18 лет. Однако, распространена ситуация, когда, готовясь к празднованию окончания школы, некоторые родители сами приобретают спиртные напитки для таких мероприятий.</w:t>
      </w:r>
    </w:p>
    <w:p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hAnsi="Times New Roman" w:cs="Times New Roman"/>
          <w:sz w:val="28"/>
          <w:szCs w:val="28"/>
        </w:rPr>
        <w:t>В соответствии со ст. 2.3. КоАП РФ,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hAnsi="Times New Roman" w:cs="Times New Roman"/>
          <w:sz w:val="28"/>
          <w:szCs w:val="28"/>
        </w:rPr>
        <w:t>В случае нахождения в состоянии опьянения несовершеннолетних в возрасте до шестнадцати лет, либо распитие ими алкогольной и спиртосодержащей продукции к административной ответственности, в соответствии со ст. 20.22. КоАП РФ, привлекаются родители (законные представители), на которых может быть наложен штраф в размере от 1500 до 2000 тысяч рублей.</w:t>
      </w:r>
    </w:p>
    <w:p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hAnsi="Times New Roman" w:cs="Times New Roman"/>
          <w:sz w:val="28"/>
          <w:szCs w:val="28"/>
        </w:rPr>
        <w:t>Появление лиц, достигших 16 лет,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влечёт наложение штрафа в размере от 500 до 1500 рублей или административный арест на срок до 15 суток (ст. 20.21 КоАП РФ).</w:t>
      </w:r>
    </w:p>
    <w:p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hAnsi="Times New Roman" w:cs="Times New Roman"/>
          <w:sz w:val="28"/>
          <w:szCs w:val="28"/>
        </w:rPr>
        <w:t>Для лиц, достигших 16 лет, установлена административная ответственность в виде штрафа от 500 до 1500 рублей за распитие алкогольной продукции в местах, запрещенных федеральным законом (в детских, образовательных и медицинских организациях, на всех видах общественного транспорта, в организациях культуры, физкультурно- оздоровительных и спортивных сооружениях и т.д.) (ч. 1 ст. 20.20 КоАП РФ).</w:t>
      </w:r>
    </w:p>
    <w:p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hAnsi="Times New Roman" w:cs="Times New Roman"/>
          <w:sz w:val="28"/>
          <w:szCs w:val="28"/>
        </w:rPr>
        <w:t>В силу ст. 6.10 КоАП РФ вовлечение несовершеннолетнего в употребление алкогольной и спиртосодержащей продукции влечет наложение административного штрафа в размере от 1500 до 3000 рублей. Те же действия, совершенные родителями или иными законными представителями несовершеннолетних, влекут наложение административного штрафа в размере от 4000 до 5000 рублей.</w:t>
      </w:r>
    </w:p>
    <w:p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hAnsi="Times New Roman" w:cs="Times New Roman"/>
          <w:sz w:val="28"/>
          <w:szCs w:val="28"/>
        </w:rPr>
        <w:t xml:space="preserve">Стоит отметить, что дела об административных правонарушениях, совершенных несовершеннолетними, а также дела об административных правонарушениях, предусмотренных ст. 20.22 КоАП РФ рассматривают </w:t>
      </w:r>
      <w:r w:rsidRPr="000B380D">
        <w:rPr>
          <w:rFonts w:ascii="Times New Roman" w:hAnsi="Times New Roman" w:cs="Times New Roman"/>
          <w:sz w:val="28"/>
          <w:szCs w:val="28"/>
        </w:rPr>
        <w:lastRenderedPageBreak/>
        <w:t>комиссии по делам несовершеннолетних и защите их прав по месту жительства правонарушителя, которые наряду с назначением административного наказания, предусмотренного КоАП РФ, вправе принять к подростку и его родителям (законным представителям) меры профилактического характера в соответствии с Федеральным законом от 24.06.1999 № 120-ФЗ «Об основах системы профилактики безнадзорности и правонарушений несовершеннолетних».</w:t>
      </w:r>
    </w:p>
    <w:p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hAnsi="Times New Roman" w:cs="Times New Roman"/>
          <w:sz w:val="28"/>
          <w:szCs w:val="28"/>
        </w:rPr>
        <w:t>2.</w:t>
      </w:r>
    </w:p>
    <w:p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hAnsi="Times New Roman" w:cs="Times New Roman"/>
          <w:sz w:val="28"/>
          <w:szCs w:val="28"/>
        </w:rPr>
        <w:t>К недвижимым вещам (недвижимое имущество, недвижимость) согласно положениям ст. 130 Гражданского кодекса Российской Федерации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</w:p>
    <w:p w:rsidR="000B6082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hAnsi="Times New Roman" w:cs="Times New Roman"/>
          <w:sz w:val="28"/>
          <w:szCs w:val="28"/>
        </w:rPr>
        <w:t xml:space="preserve">Согласно п. 1 ст. 225 Гражданского кодекса Российской Федерации бесхозяйной является вещь,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 w:rsidRPr="000B380D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0B380D">
        <w:rPr>
          <w:rFonts w:ascii="Times New Roman" w:hAnsi="Times New Roman" w:cs="Times New Roman"/>
          <w:sz w:val="28"/>
          <w:szCs w:val="28"/>
        </w:rPr>
        <w:t xml:space="preserve"> на которую собственник отказался. Бесхозяйные недвижимые вещи принимаются на учёт 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 xml:space="preserve">По истечении года со дня постановки бесхозяйной недвижимой вещи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3063">
        <w:rPr>
          <w:rFonts w:ascii="Times New Roman" w:hAnsi="Times New Roman" w:cs="Times New Roman"/>
          <w:sz w:val="28"/>
          <w:szCs w:val="28"/>
        </w:rPr>
        <w:t>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 (п. 3 ст. 225 Гражданского кодекса Российской Федерации).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Процедура постановки на учет бесхозяйного имущества регламентируется приказом Министерства экономического развития РФ от 10.12.2015 № 931 «Об установлении Порядка принятия на учет бесхозяйных недвижимых вещей».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Согласно ст. 14, 16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и сельского поселений поселения относятся владение, пользование и распоряжение имуществом, находящимся в муниципальной собственности, организация охраны общественного порядка, организация мероприятий по охране окружающей среды, а также осуществление в пределах своих полномочий мероприятий по обеспечению безопасности жизни и здоровья детей.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 xml:space="preserve">Кроме этого, допущенные нарушения законодательства влекут неисполнение установленной законом обязанности органа местного самоуправления по предупреждению чрезвычайных ситуаций в силу статьи 14 Федерального закона от 06.10.2003 № 131-ФЗ «Об общих принципах организации местного самоуправления в Российской Федерации», которые </w:t>
      </w:r>
      <w:r w:rsidRPr="00CF3063">
        <w:rPr>
          <w:rFonts w:ascii="Times New Roman" w:hAnsi="Times New Roman" w:cs="Times New Roman"/>
          <w:sz w:val="28"/>
          <w:szCs w:val="28"/>
        </w:rPr>
        <w:lastRenderedPageBreak/>
        <w:t>могут возникнуть ввиду возгорания или иного чрезвычайного происшествия на бесхозяйственном объекте, в результате чего другим недвижимым или движимым объектам, которые имеют собственника, может быть причинен ущерб.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К тому же, в ст.37 Федерального закона от 30.12.2009 № 384-ФЗ «Технический регламент о безопасности зданий и сооружений» указано, что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Для недопущения вышеуказанных требований закона, а также п.6 ст.1 Федерального закона от 13.07.2015 № 218-ФЗ «О государственной регистрации недвижимости» органами местного самоуправления должна осуществляться целенаправленная работа по признанию таких объектов аварийными или оформлению данных объектов в муниципальную собственность для последующей реализации либо передачи в аренду.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B6082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B6082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B6082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3.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 xml:space="preserve">Статьей 31 Конституции Российской Федерации предусмотрено право граждан Российской Федерации собираться мирно, без оружия, проводить собрания, митинги и демонстрации, шествия и пикетирования. Порядок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F3063">
        <w:rPr>
          <w:rFonts w:ascii="Times New Roman" w:hAnsi="Times New Roman" w:cs="Times New Roman"/>
          <w:sz w:val="28"/>
          <w:szCs w:val="28"/>
        </w:rPr>
        <w:t>их организации и проведения определен Федеральным законом «О собраниях, митингах, демонстрациях, шествиях и пикетированиях». Публичное мероприятие законно, если: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- не носит противоправный и экстремистский характер;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- организаторы старше 16 лет, не ограничены в дееспособности и местами лишения свободы, не привлекались дважды за правонарушения, не судимы за преступления против общества и государства, деятельность общественного объединения не запрещена;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- согласовано с уполномоченным органом (в зависимости от места проведения - муниципалитетом или Управлением делами Главы РС(Я) и Правительства РС(Я)) за 10 дней до проведения (по пикету - за 3 дня));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 xml:space="preserve">- проводится в специально отведенном месте (распоряжение 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Госкомюстиции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 xml:space="preserve"> РС(Я) от 16.04.2013 № 066-П) или месте, согласованном уполномоченным органом;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- проводится в период с 7 до 22 часов;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- проводится в не запрещенном месте, т.е. не вблизи судов, библиотек, музеев, торговых, развлекательных учреждений, медицинских, образовательных организаций, спорткомплексов, остановок маршрутных транспортных средств, объектов жизнеобеспечения и т.д.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указанных требования и ограничений предусмотрено ст. 11 Европейской конвенции по правам человека от 04.11.1950 и обусловлено обязанностью органов власти,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F3063">
        <w:rPr>
          <w:rFonts w:ascii="Times New Roman" w:hAnsi="Times New Roman" w:cs="Times New Roman"/>
          <w:sz w:val="28"/>
          <w:szCs w:val="28"/>
        </w:rPr>
        <w:t>и правоохранительных органов обеспечить права граждан, их безопасность, общественный порядок, а также оказание неотложной медицинской помощи.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Если уведомление не было подано в срок, в проведении мероприятия отказано либо оно не согласовано по месту и времени проведения - организатор не вправе проводить публичное мероприятие.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В случае несогласия с действиями органов власти они могут быть обжалованы в установленном порядке в суд в течении 10 дней со дня, когда стало известно о нарушении прав.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За нарушение установленного порядка организации либо проведения публичного мероприятия, участия в нем, предусмотрена административная ответственность в плоть до ареста на 15 суток (ст. 20.2 КоАП РФ), а за нарушение порядка организации, повлекшее нарушение общественного порядка – до 30 суток (ст. 20.2.2 КоАП РФ).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Родители несовершеннолетних, участвовавших в несанкционированных публичных мероприятиях, могут быть привлечены к административной ответственности по ст. 5.35 КоАП РФ за неисполнение обязанностей по воспитанию детей.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 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 xml:space="preserve">Публичное распространение заведомо ложной информации об </w:t>
      </w:r>
      <w:proofErr w:type="gramStart"/>
      <w:r w:rsidRPr="00CF3063">
        <w:rPr>
          <w:rFonts w:ascii="Times New Roman" w:hAnsi="Times New Roman" w:cs="Times New Roman"/>
          <w:sz w:val="28"/>
          <w:szCs w:val="28"/>
        </w:rPr>
        <w:t>обстоятельствах, представляющих угрозу жизни и безопасности граждан влечет</w:t>
      </w:r>
      <w:proofErr w:type="gramEnd"/>
      <w:r w:rsidRPr="00CF3063">
        <w:rPr>
          <w:rFonts w:ascii="Times New Roman" w:hAnsi="Times New Roman" w:cs="Times New Roman"/>
          <w:sz w:val="28"/>
          <w:szCs w:val="28"/>
        </w:rPr>
        <w:t xml:space="preserve"> уголовную ответственность по ст. 207.1 УК РФ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За неоднократное нарушение установленного порядка организации либо проведения публичного мероприятия, неоднократное участие в нем, организацию массовых беспорядков, а также призывы к ним предусмотрена уголовная ответственность с максимальным наказанием до 5 и 15 лет лишения свободы (ст. 212.1, ст. 212, УК РФ соответственно).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Статьей 267 УК РФ предусмотрена ответственность за воспрепятствование движению транспортных средств и пешеходов, если возникла угроза жизни, здоровью и безопасности граждан, повреждения или уничтожения имущества.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Перед тем, как принять решение участвовать или нет в публичном массовом мероприятии, необходимо внимательно ознакомиться с законом и убедиться в том, что мероприятие законно. Ваша безопасность и ответственность зависит от вашего выбора.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4.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 xml:space="preserve">Федеральным законом от 27.12.2018 № 498-ФЗ «Об ответственном обращении с животными и о внесении изменений в отдельные законодательные акты РФ» установлено, что потенциально-опасные собаки – это собаки определенных пород, их гибриды и другие собаки, </w:t>
      </w:r>
      <w:r w:rsidRPr="00CF3063">
        <w:rPr>
          <w:rFonts w:ascii="Times New Roman" w:hAnsi="Times New Roman" w:cs="Times New Roman"/>
          <w:sz w:val="28"/>
          <w:szCs w:val="28"/>
        </w:rPr>
        <w:lastRenderedPageBreak/>
        <w:t>представляющие потенциальную опасность для жизни и здоровья человека и включенные в перечень потенциально опасных собак.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 xml:space="preserve">Согласно перечню, утвержденному Постановлением Правительства от 29.07.2019 №974, к потенциально опасным собакам относятся 12 пород собак: 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акбаш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 xml:space="preserve">, американский 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бандог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амбульдог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 xml:space="preserve">, бразильский бульдог, 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 xml:space="preserve"> Кутта, бульдог 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алапахский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 xml:space="preserve"> чистокровный (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бэндог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волко-собачьи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 xml:space="preserve"> гибриды, 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волкособ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 xml:space="preserve">, гуль дог, 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питмульмастиф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>, северокавказская собака, а также метисы этих пород.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Вышеуказанным законом в пункте 6 статьи 13 закреплено положение, согласно которому запрещается выгул потенциально опасных собак без намордника и поводка независимо от места выгула, за исключением случаев, если они находятся на огороженной территории, принадлежащей владельцу потенциально опасной собаки на праве собственности или ином законном основании. Помимо этого, о наличии этой собаки должна быть сделана предупреждающая надпись при входе на данную территорию.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5.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Вопросы признания жилых помещений непригодными для проживания и многоквартирных домов аварийными и подлежащими сносу или реконструкции отнесены к исключительной компетенции межведомственной комиссии, создаваемой в зависимости от принадлежности жилого дома к соответствующему жилищному фонду федеральным органом исполнительной власти, органом исполнительной власти субъекта РФ или органом местного самоуправления.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Граждане вправе оспорить в суде бездействие межведомственной комиссии и органа местного самоуправления по принятию решений, связанных с признанием жилого помещения непригодным для проживания и многоквартирного дома аварийным и подлежащим сносу или реконструкции.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Заключение строительно-технической экспертизы будет являться одним из доказательств, имеющих значение для правильного рассмотрения и разрешения дела.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В случае, когда собственники жилых помещений в таком доме в предоставленный им срок не осуществили его снос или реконструкцию, органом местного самоуправления принимается решение об изъятии земельного участка, на котором расположен указанный аварийный дом, для муниципальных нужд.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Орган государственной власти или местного самоуправления, принявший решение об изъятии земельного участка и жилого помещения, обязан выплатить собственнику жилого помещения в многоквартирном доме, признанном аварийным и подлежащем сносу, но не включенном в региональную адресную программу по переселению граждан из аварийного жилищного фонда, выкупную цену изымаемого жилого помещения.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lastRenderedPageBreak/>
        <w:t>Другое жилое помещение взамен изымаемого может быть предоставлено собственнику только при наличии соответствующего соглашения.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В случае если дом, в котором находится жилое помещение, занимаемое по договору социального найма, подлежит сносу, выселяемым из него гражданам органом, принявшими решение о сносе такого дома, предоставляются другие благоустроенные жилые помещения по договорам социального найма.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6.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С началом туристического сезона возможно возобновление мошенничества в данной сфере правоотношений. У основной массы населения отпуск на курортах бывает раз в год или еще реже. Самое неприятное – это остаться без долгожданного отдыха.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Недобросовестные лица пользуются доверчивостью и правовой безграмотностью туристов, что приводит к негативным последствиям. Можно выделить следующие типичные схемы обмана: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Предложение альтернативы. При бронировании жилья можно встретиться с неприятными моментами. Например, изначально предлагается одна квартира рядом с морем, а по приезду она может оказаться квартирой на другом конце города. Уставшие с дороги туристы, которые боятся упустить возможность, заселяются уже хоть куда-нибудь.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Снятие квартиры у мошенников. Мошенники снимают жилье посуточно и встречают туристов на вокзале, предлагая более дешевое жилье. Оплату берут сразу за весь период проживания. На следующий день после визита хозяина оказывается, что квартира снята посуточно мошенниками.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Подделка сайтов туристических компаний, гостиниц. Мошенники создают точные копии популярных Интернет-сайтов, имеющих минимальные отличия от оригиналов. Оплата осуществляется на электронные кошельки мошенников либо банковские карты.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Как избежать мошенничества в сфере туризма.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позволяют бороться с мошенниками, разрабатывая различные способы противостояния им. Использование известных сервисов бронирования и резервирования позволяет избежать проблем в данной сфере.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Например, забронировать место в отеле, гостинице, гостевом домике можно с помощью таких ресурсов в сети Интернет и в разных странах мира, а не только в России. Тем более данные сайты предоставляют широкий комплекс дополнительных услуг.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 xml:space="preserve">Если туроператор вызывает подозрения, необходимо тщательно проверять его. Туроператоры могут обанкротиться, а клиент – остаться без своих денег. Для того, чтобы предотвратить данную ситуацию, необходимо более внимательно относиться к туроператорам, а также турагентам, предоставляющих посреднические услуги в данной сфере. Необходимо </w:t>
      </w:r>
      <w:r w:rsidRPr="00CF3063">
        <w:rPr>
          <w:rFonts w:ascii="Times New Roman" w:hAnsi="Times New Roman" w:cs="Times New Roman"/>
          <w:sz w:val="28"/>
          <w:szCs w:val="28"/>
        </w:rPr>
        <w:lastRenderedPageBreak/>
        <w:t>тщательно изучать информацию о туроператоре, турагенте услугами которых клиент планирует воспользоваться (информацию можно получить из разных источников, в том числе из сети Интернет). 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Проверить благонадежность туристической компании помогут отзывы. У большинства фирм есть страницы в социальных сетях – официальные аккаунты, где менеджеры отвечают на вопросы. Так можно уточнить официальные сайты компании, запросить интересующие сведения. Мошенники, как правило, обратной связи не предоставляют.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В каждом случае простите у турагента номер подтверждения брони. Затем Вы сможете зайти на сайт туроператора и проверить статус брони. Если такой нет, то и бронирование тура не происходило.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Достоверно проверить туроператора можно по федеральному реестру. Операторы также на сайтах размещают информацию об агентах-партнерах. Если агентство отсутствует на сайте туроператора, то покупать путевку не стоит.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 xml:space="preserve">Необходимо делать 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принтскрины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 xml:space="preserve"> страниц, сохранять 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чек-оплаты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>, номера карт при переводе.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Если мошенничество произошло, рекомендуем незамедлительно обращаться в правоохранительные органы, потому что в данной ситуации речь идет уже об уголовном преследовании.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7.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Предложено внести изменения в Федеральный закон «О дополнительных мерах государственной поддержки семей, имеющих детей» в соответствии с которым право на дополнительные меры государственной поддержки будет распространено на мужчин: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- являющихся отцами (усыновителями) второго, третьего ребенка или последующих детей, рожденных после 1 января 2007 года;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- являющихся отцами (усыновителями) первого ребенка, рожденного после 1 января 2020 года.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При этом, право на получение мер социальной поддержки будет возникать в случае смерти женщины не являющейся гражданкой Российской Федерации, родившей детей, либо объявления ее умершей.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Также, в документе оговорена возможность перехода права на дополнительные меры господдержки к детям в равных долях, в частности в случае смерти мужчины, лишения его родительских прав, совершения в отношении своего ребенка (детей) умышленного преступления.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В настоящее время указанный законопроект находится в стадии рассмотрения.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8.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С 1 марта 2022 года вступили в силу изменения в Федеральный закон от 13.12.1996 № 150-ФЗ «Об оружии».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lastRenderedPageBreak/>
        <w:t>В законе используются новые понятия гладкоствольное огнестрельное оружие, спусковой механизм, ударный механизм, переделка оружия и пр.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изменениями, оружие отнесено к источнику повышенной опасности.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Право на приобретение охотничьего оружия, огнестрельного гладкоствольного длинноствольного оружия самообороны теперь по общему правилу имеют граждане Российской Федерации, достигшие возраста 21 года и граждане, не достигшие указанного возраста, но прошедшие либо проходящие военную службу.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Гражданам Российской Федерации, получившим лицензию на приобретение гражданского огнестрельного длинноствольного оружия, до истечения первых 2 лет владения таким оружием не разрешается приобретать в целях самообороны или охоты огнестрельное гладкоствольное длинноствольное оружие, имеющее более двух стволов или магазин (барабан).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Запрещено приобретение, хранение, ношение и использование оружия, тем кто не прошел медосвидетельствование на наличие противопоказаний. В него войдут психиатрическое освидетельствование, а также анализы на наркотики и психотропные вещества.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При этом, медосмотр необходимо будет проходить раз в пять лет тем, кто покупает оружие или уже владеет им. Пройти процедуру можно только в государственной или муниципальной медицинской организации.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9.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Граждане вправе претендовать на компенсацию морального вреда, в случае если причинены физические или нравственные страдания действиями, нарушающими личные неимущественные или имущественные права либо посягающими на принадлежащие нематериальные блага, а также в других установленных случаях. При этом в удовлетворении требования о компенсации морального вреда не может быть отказано по причине того, что, например, невозможно точно установить характер и степень телесных повреждений (статья 151 Гражданского кодекса Российской Федерации (далее – ГК РФ)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Компенсация морального вреда согласно ст. 1100 ГК РФ осуществляется независимо от вины причинителя вреда в случаях, когда: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вред причинен жизни или здоровью гражданина источником повышенной опасности; вред причинен гражданину в результате его незаконного осуждения, незаконного привлечения к уголовной ответственности, незаконного применения в качестве меры пресечения заключения под стражу или подписки о невыезде, незаконного наложения административного взыскания в виде ареста или исправительных работ; вред причинен распространением сведений, порочащих честь, достоинство и деловую репутацию; в иных случаях, предусмотренных законом.</w:t>
      </w:r>
    </w:p>
    <w:p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lastRenderedPageBreak/>
        <w:t>Гражданин может требовать компенсации морального вреда в любом размере.</w:t>
      </w:r>
    </w:p>
    <w:p w:rsidR="000B6082" w:rsidRPr="00CF3063" w:rsidRDefault="000B6082" w:rsidP="000B6082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Тем не менее при определении размера компенсации суд принимает во внимание степень вины нарушителя, учитывает характер физических и нравственных страданий, связанных с индивидуальными особенностями потерпевшего, а также требования разумности и справедливости (п. 2 ст. 1101 ГК РФ).</w:t>
      </w:r>
    </w:p>
    <w:p w:rsidR="00CF2562" w:rsidRDefault="00CF2562"/>
    <w:sectPr w:rsidR="00CF2562" w:rsidSect="001168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2562"/>
    <w:rsid w:val="00063B2E"/>
    <w:rsid w:val="000B6082"/>
    <w:rsid w:val="008D6984"/>
    <w:rsid w:val="00CF2562"/>
    <w:rsid w:val="00E3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8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Раткина Екатерина Леонидовна</dc:creator>
  <cp:keywords/>
  <dc:description/>
  <cp:lastModifiedBy>Ира</cp:lastModifiedBy>
  <cp:revision>3</cp:revision>
  <dcterms:created xsi:type="dcterms:W3CDTF">2022-05-20T06:19:00Z</dcterms:created>
  <dcterms:modified xsi:type="dcterms:W3CDTF">2022-05-24T13:47:00Z</dcterms:modified>
</cp:coreProperties>
</file>